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2024/119 vom 21. Januar 2025</w:t>
      </w:r>
    </w:p>
    <w:p>
      <w:r>
        <w:t>Sg Versicherungsgericht, 2025-01-21, DE</w:t>
      </w:r>
    </w:p>
    <w:p>
      <w:r>
        <w:rPr>
          <w:b/>
        </w:rPr>
        <w:t xml:space="preserve">Quelle: </w:t>
      </w:r>
      <w:r>
        <w:t>https://mcp.opencaselaw.ch/entscheid/sg_publikationen_IV 2024_119</w:t>
      </w:r>
    </w:p>
    <w:p>
      <w:r>
        <w:t>FR: SG_VERSICHERUNGSGERICHT IV 2024/119 du 21 janvier 2025</w:t>
      </w:r>
    </w:p>
    <w:p>
      <w:r>
        <w:t>IT: SG_VERSICHERUNGSGERICHT IV 2024/119 del 21 gennaio 2025</w:t>
      </w:r>
    </w:p>
    <w:p>
      <w:pPr>
        <w:pStyle w:val="Heading2"/>
      </w:pPr>
      <w:r>
        <w:t>Regeste</w:t>
      </w:r>
    </w:p>
    <w:p>
      <w:r>
        <w:t>Art. 28 IVG. Art. 28a IVG. Art. 16 ATSG. Invalidenrente. Würdigung eines polydisziplinären Administrativgutachtens. Statusfrage. Fiktives Pensum im fiktiven „Gesundheitsfall“ (Entscheid des Versicherungsgerichts des Kantons St. Gallen vom 21. Januar 2025, IV 2024/119).</w:t>
      </w:r>
    </w:p>
    <w:p>
      <w:pPr>
        <w:pStyle w:val="Heading2"/>
      </w:pPr>
      <w:r>
        <w:t>Erwägungen</w:t>
      </w:r>
    </w:p>
    <w:p>
      <w:r>
        <w:rPr>
          <w:b/>
        </w:rPr>
        <w:t>E. 1</w:t>
      </w:r>
    </w:p>
    <w:p>
      <w:r>
        <w:t>Der Zweck dieses Beschwerdeverfahrens besteht in der Überprüfung der angefochtenen Verfügung auf deren Rechtmässigkeit, weshalb sein Gegenstand jenem des vorangegangenen Verwaltungsverfahrens entsprechen muss. Dieses hat sich nach der verbindlichen Abweisung des Begehrens um berufliche Eingliederungsmassnahmen am 24. Februar 2021 auf die Prüfung des im Februar 2021 eingereichten Rentenbegehrens und damit auf die Frage beschränkt, ob die Beschwerdeführerin frühestens ab dem 1. August 2021 (vgl. Art. 29 Abs. 1 IVG) einen Anspruch auf eine Rente der Invalidenversicherung gehabt hat. Auch in diesem Beschwerdeverfahren ist deshalb ausschliesslich ein Rentenanspruch frühestens ab August 2021 zu prüfen.</w:t>
      </w:r>
    </w:p>
    <w:p>
      <w:r>
        <w:rPr>
          <w:b/>
        </w:rPr>
        <w:t>E. 2</w:t>
      </w:r>
    </w:p>
    <w:p>
      <w:r>
        <w:t>IVG dem Grad der Unfähigkeit, sich im Aufgabenbereich zu betätigen. Bei einer teilerwerbstätigen Person wird der Invaliditätsgrad für den Erwerbsbereich nach Art. 28a Abs. 1 IVG und für den Aufgabenbereich nach Art. 28a Abs. 2 IVG ermittelt; die beiden Teilinvaliditätsgrade werden gemäss den Anteilen von Erwerbs- und Aufgabenbereich gewichtet und addiert (sog. „gemischte Methode“; vgl. Art. 28a Abs. 3 IVG).</w:t>
      </w:r>
    </w:p>
    <w:p>
      <w:r>
        <w:rPr>
          <w:b/>
        </w:rPr>
        <w:t>E. 3</w:t>
      </w:r>
    </w:p>
    <w:p>
      <w:r>
        <w:t>Nach der Praxis des Bundesgerichtes ist für die Beantwortung der „Statusfrage“, also der Frage, in welchem Pensum die versicherte Person im fiktiven „Gesundheitsfall“ erwerbstätig wäre, die Aussage der versicherten Person selbst von ausschlaggebender Bedeutung, wobei der ersten Aussage (der sog. „Aussage der ersten Stunde“) ein besonderes Gewicht zukommt (vgl. etwa das Urteil des Bundesgerichtes 8C_249/2023 vom 6. Oktober 2023, E. 4.3.2). Dieser Praxis folgend müsste die Beschwerdeführerin ohne Weiteres als im fiktiven „Gesundheitsfall“ vollerwerbstätig qualifiziert werden, da sie sowohl im Fragebogen als auch anlässlich der Haushaltsabklärung angegeben hat, dass sie ohne die Gesundheitsbeeinträchtigung vollzeitig erwerbstätig wäre. Die Beschwerdegegnerin hat in ihrer Beschwerdeantwort geltend gemacht, verschiedene Indizien weckten Zweifel daran, dass die Beschwerdeführerin ohne die Gesundheitsbeeinträchtigung tatsächlich vollzeitig erwerbstätig wäre: Die Beschwerdeführerin habe in ihrem Herkunftsland keine Berufsausbildung absolviert; sie sei weder dort noch hier in der Schweiz (abgesehen von einem kurzfristigen stellvertretenden Einsatz als Reinigungsfrau) je einer Erwerbstätigkeit nachgegangen, obwohl sie in der Zeit zwischen der Einreise in die Schweiz und der Geburt des ersten Kindes noch nicht an einer relevanten Gesundheitsbeeinträchtigung gelitten habe; sie habe in jenem Zeitraum weder einen Deutschkurs absolviert noch sich um eine Arbeitsstelle bemüht; gegenüber einem behandelnden Arzt habe sie geltend gemacht, dass Frauen in ihrem Kulturkreis keine Hobbies hätten, sondern für den Haushalt und für die Familie sorgen würden; das jüngere Kind sei im Zeitpunkt des frühestmöglichen Rentenbeginns erst knapp vier Jahre alt gewesen. Diese Indizien sprechen allerdings nicht gegen eine vollzeitige Erwerbstätigkeit, sondern vielmehr gegen eine Erwerbsaufnahme an sich. Die Argumentation der Beschwerdegegnerin zielt nämlich darauf ab aufzuzeigen, dass keinerlei Hinweise dafür bestünden, dass die Beschwerdegegnerin ohne die Gesundheitsbeeinträchtigung je eine Erwerbstätigkeit IV 2024/119 7/11</w:t>
      </w:r>
    </w:p>
    <w:p>
      <w:r>
        <w:t>aufgenommen hätte. Dieser Argumentation kann jedoch nicht gefolgt werden. Die Beschwerdeführerin hat gegenüber den Sachverständigen der medexperts AG angegeben, dass sie gerne eine weiterführende Schule besucht und eine Berufsausbildung abgeschlossen hätte, dies aber nicht möglich gewesen sei. Sie hat früh geheiratet und ist nach der Hochzeit in die Schweiz immigriert. Rund ein Jahr nach der Einreise in die Schweiz ist ihr erstes Kind zur Welt gekommen. Dass sie in dieser kurzen Zeit, in der sie sich an das Leben in der Schweiz und in einer Ehe hat akklimatisieren sowie auf eine bevorstehende Geburt und Mutterschaft hat vorbereiten müssen, keine Stellenbemühungen getätigt hat und keiner Erwerbstätigkeit nachgegangen ist, sagt nichts darüber aus, ob sie später eine Erwerbstätigkeit aufgenommen hätte. Auch aus der bislang unterbliebenen Integration kann diesbezüglich nichts abgeleitet werden, denn gegenüber der Beschwerdegegnerin hat die Beschwerdeführerin geltend gemacht, dass sie in der Aufnahme einer Erwerbstätigkeit eine Chance zur Integration und zum Knüpfen sozialer Kontakte sehe. Nach der allgemeinen Lebenserfahrung ist ein Arbeitsverhältnis oft ein wesentlicher Schlüssel zur Integration und Sozialisation. Die Aussage der Beschwerdeführerin gegenüber einem behandelnden Arzt, in ihrem Kulturkreis seien Frauen mit dem Haushalt und den Kindern beschäftigt, widerspricht der Erfahrungstatsache, dass viele Landsmänninnen der Beschwerdeführerin hier in der Schweiz teil- oder vollerwerbstätig sind. Zusammenfassend besteht kein begründeter Zweifel daran, dass die Beschwerdeführerin im fiktiven „Gesundheitsfall“ eine Erwerbstätigkeit ausgeübt hätte. Bleibt die Frage nach dem fiktiven Pensum zu beantworten. Der einzige Umstand, der gegen ein fiktives Vollpensum spricht, ist die Betreuungspflicht gegenüber dem jüngeren Kind, das im Zeitpunkt des frühestmöglichen Rentenbeginns erst etwas mehr als vier Jahre alt gewesen ist. Allerdings hat das Kind damals bereits den Kindergarten besucht, wodurch sich die Betreuungspflicht der Beschwerdeführerin wesentlich reduziert hat. Zudem wäre eine Betreuung in einer Kindertagesstätte angesichts des hohen Lohnes des Ehemannes problemlos finanzierbar gewesen. Auch der geltend gemachte Aufwand für das Besorgen des eigenen Haushaltes spricht nicht gegen eine vollzeitige Erwerbstätigkeit, denn auch im fiktiven „Gesundheitsfall“ wäre es dem Ehemann der Beschwerdeführerin selbstverständlich zumutbar gewesen, im Haushalt mitzuhelfen, wenn die Beschwerdeführerin vollzeitig erwerbstätig gewesen wäre. Wäre die Beschwerdeführerin (im fiktiven „Gesundheitsfall“) auf ein eigenes Erwerbseinkommen angewiesen gewesen, hätte sie spätestens ab dem Eintritt des jüngeren Kindes in den Kindergarten im August 2021 Möglichkeiten und Wege gefunden, einer vollzeitigen Erwerbstätigkeit nachzugehen. Eine finanzielle Notwendigkeit hat zwar angesichts des hohen Lohnes des Ehemannes (der allerdings bis Ende 2022 teilweise gepfändet gewesen war) nicht bestanden, weshalb gewisse Zweifel daran bestehen, dass die Beschwerdeführerin im fiktiven „Gesundheitsfall“ tatsächlich schon ab August 2021 einer vollzeitigen Erwerbstätigkeit nachgegangen wäre, aber diese geringen Zweifel rechtfertigen es nicht, die Aussage der Beschwerdeführerin zu ignorieren und sie als teil- oder gar nicht erwerbstätig zu betrachten. Die Beschwerdeführerin ist folglich als im fiktiven „Gesundheitsfall“ vollerwerbstätig zu qualifizieren; die Invaliditätsbemessung hat demnach anhand eines „reinen“ Einkommensvergleichs zu erfolgen. IV 2024/119 8/11</w:t>
      </w:r>
    </w:p>
    <w:p>
      <w:r>
        <w:rPr>
          <w:b/>
        </w:rPr>
        <w:t>E. 4</w:t>
      </w:r>
    </w:p>
    <w:p>
      <w:r>
        <w:t>Die Beschwerdeführerin hat keine Berufsausbildung absolviert. Ihre Validenkarriere ist folglich jene einer Hilfsarbeiterin. Das Valideneinkommen entspricht dem statistischen Zentralwert der Hilfsarbeiterinnenlöhne.</w:t>
      </w:r>
    </w:p>
    <w:p>
      <w:r>
        <w:rPr>
          <w:b/>
        </w:rPr>
        <w:t>E. 5.1</w:t>
      </w:r>
    </w:p>
    <w:p>
      <w:r>
        <w:t>Für die Bestimmung des zumutbarerweise erzielbaren Invalideneinkommens ist massgebend, welche Tätigkeiten der Beschwerdeführerin aus medizinischer Sicht in welchem Umfang zumutbar sind. Die Beschwerdegegnerin hat zur Beantwortung dieser Frage ein polydisziplinäres Gutachten der medexperts AG eingeholt. Die Sachverständigen der medexperts AG haben die Beschwerdeführerin umfassend internistisch, rheumatologisch, endokrinologisch, psychiatrisch und neuropsychologisch untersucht und sie haben die massgebenden medizinischen Vorakten eingehend gewürdigt. Nichts deutet darauf hin, dass sie eine wesentliche Tatsache übersehen hätten. Ausgehend vom massgebenden objektiven klinischen Befund haben sie mit einer überzeugenden Begründung aufgezeigt, dass in somatischer Hinsicht keine Gesundheitsbeeinträchtigung bestanden hat, die sich auf die Arbeitsfähigkeit der Beschwerdeführerin in einer körperlich nicht besonders schwer belastenden Tätigkeit ausgewirkt hätte. Der neuropsychologische Sachverständige hat anhand der von ihm erhobenen Testresultate und Befunde den überzeugend begründeten Schluss gezogen, dass die Beschwerdeführerin an einer durch die chronische Schmerzstörung, die leichte depressive Episode und die subjektiv berichteten Schlafstörungen verursachten leichten unspezifischen kognitiven Funktionsbeeinträchtigung gelitten hat, die zu einer Verlangsamung, einer reduzierten Arbeitseffizienz und einem erhöhten Pausenbedarf geführt hat. Das Ausmass dieser Beeinträchtigungen hat er auf 20 Prozent eines Vollpensums beziffert. Der Sachverständige hat zwar darauf hingewiesen, dass die eingebetteten Validitätsparameter in der Testung teilweise auffällig gewesen seien und dass in der Verhaltensbeobachtung deutliche Diskrepanzen aufgefallen seien, aber ihm ist es gelungen, die nicht authentischen Anteile der präsentierten kognitiven Beeinträchtigungen bei seiner Beurteilung auszuklammern. Entscheidend dafür dürfte wohl der Umstand gewesen sein, dass die Beschwerdeführerin sich nicht völlig unauthentisch verhalten hat. So haben sich im Bereich der Leistungsvalidierung beispielsweise unauffällige Befunde gezeigt. Die psychiatrische Sachverständige hat sich diesen Schlussfolgerungen angeschlossen, den Arbeitsunfähigkeitsgrad aber auf 30 Prozent festgesetzt, was sie mit einer zusätzlich bestehenden Reduktion der psychischen Stabilität, des Selbstvertrauens und des Durchhaltevermögens sowie mit Unruhezuständen und einer ständigen Besorgnis begründet hat. Dieses Attest erscheint (notwendigerweise aus der Sicht eines medizinischen Laien), gerade auch angesichts der vom neuropsychologischen Sachverständigen betonten Diskrepanzen und Inkonsistenzen, als eher zu hoch gegriffen. Weitere diesbezügliche Abklärungen erübrigen sich aber, weil das psychiatrische Teilgutachten immerhin mit dem erforderlichen Beweisgrad IV 2024/119 9/11</w:t>
      </w:r>
    </w:p>
    <w:p>
      <w:r>
        <w:t>der überwiegenden Wahrscheinlichkeit belegt, dass die Beschwerdeführerin zu maximal 30 Prozent arbeitsunfähig gewesen ist, und weil die objektiv richtige Antwort auf die Frage, wie hoch der Arbeitsunfähigkeitsgrad, der im Bereich zwischen null und 30 Prozent gelegen haben muss, gewesen ist, für das Ergebnis irrelevant ist, wie die nachfolgenden Ausführungen zeigen werden. Zusammenfassend steht gestützt auf das in jeder Hinsicht überzeugende Gutachten der medexperts AG mit dem erforderlichen Beweisgrad der überwiegenden Wahrscheinlichkeit fest, dass die Beschwerdeführerin für leidensadaptierte Tätigkeiten zu mindestens 70 Prozent arbeitsfähig gewesen ist.</w:t>
      </w:r>
    </w:p>
    <w:p>
      <w:r>
        <w:rPr>
          <w:b/>
        </w:rPr>
        <w:t>E. 5.2</w:t>
      </w:r>
    </w:p>
    <w:p>
      <w:r>
        <w:t>Da die Beschwerdeführerin leidensadaptierte Hilfsarbeiten verrichten könnte, entspricht der Ausgangswert zur Bestimmung des zumutbarerweise erzielbaren Invalideneinkommens dem statistischen Zentralwert der Hilfsarbeiterinnenlöhne und damit dem Valideneinkommen. Der Betrag kann bei der Berechnung des Invaliditätsgrades mathematisch keine Rolle spielen. Der Invaliditätsgrad entspricht dem Arbeitsunfähigkeitsgrad, korrigiert um einen allfälligen dem sogenannten Tabellenlohnabzug analogen Abzug, wobei darauf hinzuweisen ist, dass es vor dem Inkrafttreten der neuen Bestimmungen zum Tabellenlohnabzug am 1. Januar 2024 nicht zulässig gewesen ist, nebst dem Tabellenlohnabzug einen zusätzlichen Teilzeitabzug zu berücksichtigen. Ein allfälliger Teilzeitabzug hat jeweils einen Teil des notwendigerweise gesamthaft festzusetzenden Tabellenlohnabzuges gebildet. Nach der ständigen Praxis der Abteilung II rechtfertigt sich hier ein dem sogenannten Tabellenlohnabzug analoger Abzug, weil davon ausgegangen werden muss, dass die Beschwerdeführerin ihre Arbeitsfähigkeit nicht mit demselben ökonomischen Erfolg verwerten kann wie eine gesunde, im selben Pensum tätige Person. Die Beschwerdeführerin kann nur einen unterdurchschnittlichen ökonomischen Mehrwert generieren, da die indirekten Lohnkosten und die Lohnnebenkosten überdurchschnittlich hoch sind, sodass für den Arbeitgeber nur ein unterdurchschnittlicher „Arbeitsmehrwert“ resultiert. Ein strikt betriebswirtschaftlich operierender, also ganz bewusst keinen Soziallohn ausrichtender Arbeitgeber wird das nicht hinnehmen, sondern diese „Einbusse“ auf die Beschwerdeführerin überwälzen, indem er ihr nur einen unterdurchschnittlichen Lohn bezahlt, sodass für ihn im Ergebnis ein durchschnittlicher „Arbeitsmehrwert“ resultiert. Ein potentieller Arbeitgeber müsste bei einer Beschäftigung der Beschwerdeführerin unter anderem in Kauf nehmen, dass die Beschwerdeführerin nicht so flexibel (vgl. das Belastungsprofil; IV-act. 154–8) wie eine gesunde, in einem Pensum von mindestens 70 Prozent tätige Arbeitnehmerin eingesetzt werden könnte, weil sie nur ideal leidensadaptierte Tätigkeiten ausführen könnte (kein Zeitdruck, geringer Publikumsverkehr etc.; IV-act. 154–8), weil sie keine Mehr- oder Überstunden leisten könnte, weil sie ihren Arbeitsplatz den ganzen Tag besetzen, aber nur zu (mindestens) 70 Prozent mit der Erzielung eines ökonomischen Mehrwertes „auslasten“ würde und weil der potentielle Arbeitgeber ein überdurchschnittlich hohes Risiko krankheitsbedingter Absenzen und Leistungsschwankungen einkalkulieren müsste. Nach der ständigen Praxis der Abteilung II des Versicherungsgerichtes des IV 2024/119 10/11</w:t>
      </w:r>
    </w:p>
    <w:p>
      <w:r>
        <w:t>Kantons St. Gallen rechtfertigen diese Einschränkungen einen zusätzlichen Abzug von zehn Prozent. Unter Berücksichtigung dieses Abzuges sowie des Arbeitsunfähigkeitsgrades von maximal 30 Prozent ergibt sich ein Invaliditätsgrad von maximal 37 Prozent (= 100% – 90% × 70%). Da erst ab einem Invaliditätsgrad von 40 Prozent ein Anspruch auf eine Rente der Invalidenversicherung besteht, erweist sich die angefochtene Verfügung, mit der die Beschwerdegegnerin das Rentenbegehren der Beschwerdeführerin abgewiesen hat, im Ergebnis als rechtmässig.</w:t>
      </w:r>
    </w:p>
    <w:p>
      <w:r>
        <w:rPr>
          <w:b/>
        </w:rPr>
        <w:t>E. 6</w:t>
      </w:r>
    </w:p>
    <w:p>
      <w:r>
        <w:t>Die Beschwerde ist abzuweisen. Die angesichts des durchschnittlichen Verfahrensaufwandes praxisgemäss auf 600 Franken festzusetzenden Gerichtskosten sind der unterliegenden Beschwerdeführerin aufzuerlegen. Sie sind durch den von der Beschwerdeführerin geleisteten Kostenvorschuss von 600 Franken gedeckt. Die unterliegende Beschwerdeführerin hat keinen Anspruch auf eine Parteientschädigung. Entscheid im Zirkulationsverfahren gemäss Art. 39 VRP 1. Die Beschwerde wird abgewiesen. 2. Die Beschwerdeführerin hat die Gerichtskosten von 600 Franken zu bezahlen; dieser Betrag ist durch den von ihr geleisteten Kostenvorschuss von 600 Franken gedeckt. 3. Das Begehren um eine Parteientschädigung wird abgewiesen. IV 2024/119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